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00" w:lineRule="auto"/>
        <w:jc w:val="center"/>
        <w:rPr>
          <w:rFonts w:ascii="Times New Roman" w:cs="Times New Roman" w:eastAsia="Times New Roman" w:hAnsi="Times New Roman"/>
          <w:b w:val="1"/>
          <w:bCs w:val="1"/>
          <w:color w:val="040718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40718"/>
          <w:sz w:val="28"/>
          <w:szCs w:val="28"/>
          <w:highlight w:val="white"/>
          <w:rtl w:val="0"/>
        </w:rPr>
        <w:t xml:space="preserve">О себе </w:t>
      </w:r>
    </w:p>
    <w:p w:rsidR="00000000" w:rsidDel="00000000" w:rsidP="00000000" w:rsidRDefault="00000000" w:rsidRPr="00000000" w14:paraId="00000002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  <w:rtl w:val="0"/>
        </w:rPr>
        <w:t xml:space="preserve">Образование </w:t>
      </w:r>
    </w:p>
    <w:p w:rsidR="00000000" w:rsidDel="00000000" w:rsidP="00000000" w:rsidRDefault="00000000" w:rsidRPr="00000000" w14:paraId="00000004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«Липецкий ГТУ», Инженер-Математик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numPr>
          <w:ilvl w:val="0"/>
          <w:numId w:val="3"/>
        </w:numPr>
        <w:shd w:fill="ffffff" w:val="clear"/>
        <w:spacing w:after="0" w:before="0" w:line="312" w:lineRule="auto"/>
        <w:ind w:left="720" w:hanging="360"/>
        <w:jc w:val="both"/>
        <w:rPr>
          <w:sz w:val="24"/>
          <w:szCs w:val="24"/>
          <w:highlight w:val="white"/>
        </w:rPr>
      </w:pPr>
      <w:bookmarkStart w:colFirst="0" w:colLast="0" w:name="_uidb2jxsxp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Московская школа управления «Сколково», подготовка управленческих кадров в сфере государственного и муниципального управления; руководители среднего и крупного бизнеса «Ректорский кадровый резерв</w:t>
      </w: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Бизнес-школа INSEAD, «Effective Board Program»</w:t>
      </w:r>
    </w:p>
    <w:p w:rsidR="00000000" w:rsidDel="00000000" w:rsidP="00000000" w:rsidRDefault="00000000" w:rsidRPr="00000000" w14:paraId="00000008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  <w:rtl w:val="0"/>
        </w:rPr>
        <w:t xml:space="preserve">Опыт работы </w:t>
      </w:r>
    </w:p>
    <w:p w:rsidR="00000000" w:rsidDel="00000000" w:rsidP="00000000" w:rsidRDefault="00000000" w:rsidRPr="00000000" w14:paraId="0000000A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Липецкий областной Совет депутатов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Торгово-промышленная Палата РФ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Федеральное агентство по делам молодёжи (Росмолодежь)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АНО «Агентство стратегических инициатив по продвижению новых проектов»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Общероссийская общественная организация «Деловая Россия»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line="300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ООО «Киберпротект»</w:t>
      </w:r>
    </w:p>
    <w:p w:rsidR="00000000" w:rsidDel="00000000" w:rsidP="00000000" w:rsidRDefault="00000000" w:rsidRPr="00000000" w14:paraId="00000011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  <w:rtl w:val="0"/>
        </w:rPr>
        <w:t xml:space="preserve">Реализованные проекты </w:t>
      </w:r>
    </w:p>
    <w:p w:rsidR="00000000" w:rsidDel="00000000" w:rsidP="00000000" w:rsidRDefault="00000000" w:rsidRPr="00000000" w14:paraId="00000013">
      <w:pPr>
        <w:shd w:fill="ffffff" w:val="clear"/>
        <w:spacing w:before="240" w:line="264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Под руководством Елены компания «Киберпротект» получила статусы «Национальный чемпион» (присваивается отраслевым «локомотивам» технологического и экономического развития) и «Партнёр национальных проектов России» (присваивается за масштабные инвестиции бизнеса в достижение национальных целей и реализацию национальных проектов). </w:t>
      </w:r>
    </w:p>
    <w:p w:rsidR="00000000" w:rsidDel="00000000" w:rsidP="00000000" w:rsidRDefault="00000000" w:rsidRPr="00000000" w14:paraId="00000014">
      <w:pPr>
        <w:shd w:fill="ffffff" w:val="clear"/>
        <w:spacing w:before="240" w:line="264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В рамках образовательного направления компании организовала и успешно развивает два крупных проекта:</w:t>
      </w:r>
    </w:p>
    <w:p w:rsidR="00000000" w:rsidDel="00000000" w:rsidP="00000000" w:rsidRDefault="00000000" w:rsidRPr="00000000" w14:paraId="00000015">
      <w:pPr>
        <w:shd w:fill="ffffff" w:val="clear"/>
        <w:spacing w:line="264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64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«Кибер Забота» — всероссийский просветительский проект в сфере кибербезопасности и цифровой грамотности детей и взрослых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https://cyber-care.ru/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). Целью проекта является повышение цифровой грамотности детей и взрослых, формирование навыков безопасного поведения в цифровой среде. На сегодняшний день охвачено 89 регионов России, более 5500 учителей присоединились к проекту и проходят курсы повышения квалификации, более 130 000 учеников прослушали детский курс, 70% педагогов планируют провести уроки кибербезопасности у себя в школах, 14 региональных институтов развития образования (ИРО) одобрили и поддержали проект.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64" w:lineRule="auto"/>
        <w:ind w:left="720" w:hanging="36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«Кибер Кадры» — многосторонний комплексный проект по подготовке высококачественных ИТ-кадров для цифровой экономики. Целью проекта является совместное с российскими учебными заведениями (вузами, колледжами, школами и ИТ-кубами) повышение качества подготовки ИТ-специалистов, создание условий для выпуска лучших и наиболее востребованных ИТ-кадров для российской экономики. </w:t>
      </w:r>
    </w:p>
    <w:p w:rsidR="00000000" w:rsidDel="00000000" w:rsidP="00000000" w:rsidRDefault="00000000" w:rsidRPr="00000000" w14:paraId="00000018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Под руководством Елены в 2025 году был достигнут двукратный рост количества партнёров академической программы  компании «Киберпротект», а её продукты были интегрированы в компетенцию «Сетевое и системное администрирование» в рамках Всероссийского чемпионатного движения «Профессионалы» для студентов колледжей.</w:t>
      </w:r>
    </w:p>
    <w:p w:rsidR="00000000" w:rsidDel="00000000" w:rsidP="00000000" w:rsidRDefault="00000000" w:rsidRPr="00000000" w14:paraId="0000001A">
      <w:pPr>
        <w:shd w:fill="ffffff" w:val="clear"/>
        <w:spacing w:before="240" w:line="264" w:lineRule="auto"/>
        <w:ind w:left="0" w:firstLine="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Под руководством Елены был создан и успешно выпускается подкаст «Стражи леса» на первом ИТ-радио «Эхо лСЕЙ». В роли ведущей Елена организовывает дискуссии об информационной безопасности, ИТ-технологиях, цифровизации, ИТ-образовании. Среди гостей подкаста — представители бизнеса, государственных структур, научного и бизнес-сообщества, вузов. </w:t>
      </w:r>
    </w:p>
    <w:p w:rsidR="00000000" w:rsidDel="00000000" w:rsidP="00000000" w:rsidRDefault="00000000" w:rsidRPr="00000000" w14:paraId="0000001B">
      <w:pPr>
        <w:shd w:fill="ffffff" w:val="clear"/>
        <w:spacing w:before="240" w:line="264" w:lineRule="auto"/>
        <w:ind w:left="0" w:firstLine="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Елена создала и ведёт Telegram-канал «GR в IT» (https://t.me/GR_IT) о цифровизации и ГосИТ. В канале размещаются наиболее важные новости из области ИБ и ИТ с точки зрения государства (законопроекты, господдержка, исследования и прочее).</w:t>
      </w:r>
    </w:p>
    <w:p w:rsidR="00000000" w:rsidDel="00000000" w:rsidP="00000000" w:rsidRDefault="00000000" w:rsidRPr="00000000" w14:paraId="0000001C">
      <w:pPr>
        <w:shd w:fill="ffffff" w:val="clear"/>
        <w:spacing w:before="240" w:line="264" w:lineRule="auto"/>
        <w:ind w:left="0" w:firstLine="0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00" w:lineRule="auto"/>
        <w:jc w:val="both"/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40718"/>
          <w:sz w:val="24"/>
          <w:szCs w:val="24"/>
          <w:highlight w:val="white"/>
          <w:rtl w:val="0"/>
        </w:rPr>
        <w:t xml:space="preserve">Хобби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718"/>
          <w:sz w:val="24"/>
          <w:szCs w:val="24"/>
          <w:highlight w:val="white"/>
          <w:rtl w:val="0"/>
        </w:rPr>
        <w:t xml:space="preserve">Путешествия, спорт (альпинизм, яхтинг, бег), философия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yber-ca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